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b/>
          <w:sz w:val="40"/>
        </w:rPr>
        <w:t>The Poets (Al-Shu‘ara’) - 26:185-191</w:t>
      </w:r>
    </w:p>
    <w:p>
      <w:pPr>
        <w:jc w:val="center"/>
      </w:pPr>
      <w:r>
        <w:rPr>
          <w:color w:val="77786F"/>
          <w:sz w:val="22"/>
        </w:rPr>
        <w:t>خلاصہ · 15 May 2026</w:t>
      </w:r>
    </w:p>
    <w:p/>
    <w:p>
      <w:pPr>
        <w:jc w:val="right"/>
        <w:bidi/>
      </w:pPr>
      <w:r>
        <w:rPr>
          <w:rFonts w:ascii="Noto Nastaliq Urdu" w:hAnsi="Noto Nastaliq Urdu" w:eastAsia="Noto Nastaliq Urdu" w:cs="Noto Nastaliq Urdu"/>
          <w:sz w:val="28"/>
          <w:rtl/>
          <w:lang w:bidi="ur"/>
        </w:rPr>
        <w:t>انسان کی نفسیات کا ایک عجیب تضاد یہ ہے کہ وہ مادی اور معاشی معاملات میں تو انتہائی حقیقت پسندانہ اور لچک دار رویہ اختیار کرتا ہے، لیکن جب معاملہ دین اور فکری حقائق کا ہو تو وہ آباء پرستی (ancestral dogmatism) اور روایتی جمود کا شکار ہو جاتا ہے۔ معاشی مفادات کی خاطر وہ اپنے بزرگوں کے اقوال اور سماجی بندھنوں کو پسِ پشت ڈال کر کسی بھی قسم کا سمجھوتہ کرنے اور آگے بڑھنے کے لیے تیار رہتا ہے، مگر سچی فکر اور الٰہی دعوت کے سامنے وہ اپنے خود ساختہ تعصبات اور انانیت (ego) کی تسکین کے لیے فوراً اپنے آباء و اجداد کی روایات کا سہارا لینے لگتا ہے۔ تاریخ کا یہ مسلمہ اصول ہے کہ انسان نے جب بھی مظاہرِ فطرت کو معروضی تحقیق (objective investigation) کا موضوع بنایا تو اس پر ترقی اور دریافتوں کے بے شمار در کھل گئے، لیکن جہاں اس نے کھلے ذہن (open-mindedness) کے بجائے بند ذہن کے ساتھ حقائق کا سامنا کیا، وہاں فکری جمود (stagnation) اس کا مقدر بنا۔ قرآن کو محض روایتی عصبیت کے تحت دیکھنا بے چینی کا سبب بنتا ہے، جبکہ اسے تعصب سے پاک ہو کر معروضی طور پر سمجھا جائے تو وہی کتاب انسان کے لیے سچی معرفت (divine realization) اور فکری رہنمائی کا سرچشمہ بن جاتی ہے۔</w:t>
      </w:r>
    </w:p>
    <w:p>
      <w:pPr>
        <w:jc w:val="right"/>
        <w:bidi/>
      </w:pPr>
      <w:r>
        <w:rPr>
          <w:rFonts w:ascii="Noto Nastaliq Urdu" w:hAnsi="Noto Nastaliq Urdu" w:eastAsia="Noto Nastaliq Urdu" w:cs="Noto Nastaliq Urdu"/>
          <w:sz w:val="28"/>
          <w:rtl/>
          <w:lang w:bidi="ur"/>
        </w:rPr>
        <w:t>قرآنِ مجید میں انبیاءِ کرام کی دعوت کا یہ بنیادی نکتہ کثرت سے دہرایا گیا ہے کہ "میں تم سے اس پر کوئی اجر نہیں مانگتا" (no material demand)۔ یہ محض ایک روایتی اعلان نہیں تھا، بلکہ اس کے پیچھے انسانی نفسیات کی گہری معروضی حقیقت (objective reality) پوشیدہ تھی۔ انسان اپنے مادی مفادات، مال اور جاہ و منصب کے معاملے میں حد درجہ حساس واقع ہوا ہے۔ حضرت یعقوب علیہ السلام کے بیٹوں نے مادی ترجیحات اور حسد کے زیرِ اثر اپنے پیغمبر باپ کی نصیحت کو نظر انداز کر کے اپنے بھائی کو کنویں میں ڈال دیا، اور حضرت نوح علیہ السلام کا بیٹا حق کو قبول کرنے سے محروم رہا۔ قرآن نے سورۂ محمد میں اسی انسانی کمزوری کو بے نقاب کرتے ہوئے واضح کیا کہ اگر تم سے تمہارا مال مانگ لیا جائے اور اس پر مسلسل دباؤ ڈالا جائے تو تمہارے باطنی کینے (hidden malice) ابھر کر سطح پر آ جائیں گے۔ مال و مفاد کی یہ حرص اتنی شدید ہے کہ اگر داعی مخاطب کے مادی مفادات پر چوٹ لگائے تو وہ فوراً دعوت کا مخالف اور معاند بن جاتا ہے۔</w:t>
      </w:r>
    </w:p>
    <w:p>
      <w:pPr>
        <w:jc w:val="right"/>
        <w:bidi/>
      </w:pPr>
      <w:r>
        <w:rPr>
          <w:rFonts w:ascii="Noto Nastaliq Urdu" w:hAnsi="Noto Nastaliq Urdu" w:eastAsia="Noto Nastaliq Urdu" w:cs="Noto Nastaliq Urdu"/>
          <w:sz w:val="28"/>
          <w:rtl/>
          <w:lang w:bidi="ur"/>
        </w:rPr>
        <w:t>اسی نفسیاتی نزاکت کو ملحوظ رکھتے ہوئے انبیاءِ کرام اور بالخصوص رسول اللہ صلی اللہ علیہ وسلم نے دعوت کے میدان میں کبھی مخاطب کے مادی مفادات، سماجی وقار یا مناصب کو چیلنج نہیں کیا۔ فتحِ مکہ کے موقع پر مہاجرین کی ضبط شدہ املاک کا دوبارہ مطالبہ نہ کرنا اور اس پر نزاع چھیڑے بغیر واپسی کی حکمتِ عملی اختیار کرنا اسی لیے تھا کہ نو مسلموں کے دلوں میں مادی تصادم (material conflict) کے سبب کوئی کدورت پیدا نہ ہو۔ اسی طرح کعبہ کی کلید برداری (custodianship) کا معاملہ تھا؛ رسول اللہ صلی اللہ علیہ وسلم نے اپنے جلیل القدر اصحاب کی خواہش کے باوجود چابی اسی روایتی خاندان کے سپرد رکھی جو ماضی میں سخت مخالف رہا تھا، تا کہ ان کے دیرینہ سماجی مقام کو مجروح کیے بغیر ان کے قلوب کو اسلام کے لیے مانوس رکھا جائے۔ حتیٰ کہ زکوٰۃ کی وصولی کے سلسلے میں بھی عاملین کو واضح ہدایت دی گئی کہ وہ لوگوں کے نفیس اور بہترین مال (prized possessions) پر نظر نہ رکھیں بلکہ درمیانے درجے کا مال لیں۔ یہ تمام تر تدابیر حکمتِ اعراض (art of avoidance) کا وہ عملی مظہر ہیں جس کا مقصد دعوت کو غیر ضروری نزاع اور تصادم سے محفوظ رکھنا تھا۔</w:t>
      </w:r>
    </w:p>
    <w:p>
      <w:pPr>
        <w:jc w:val="right"/>
        <w:bidi/>
      </w:pPr>
      <w:r>
        <w:rPr>
          <w:rFonts w:ascii="Noto Nastaliq Urdu" w:hAnsi="Noto Nastaliq Urdu" w:eastAsia="Noto Nastaliq Urdu" w:cs="Noto Nastaliq Urdu"/>
          <w:sz w:val="28"/>
          <w:rtl/>
          <w:lang w:bidi="ur"/>
        </w:rPr>
        <w:t>موجودہ دور میں بھی مختلف گروہوں اور اقوام کے درمیان پیدا ہونے والی شدت اور عداوت بنیادی طور پر کوئی خالص نظریاتی مخالفت نہیں ہوتی، بلکہ اس کی تہہ میں مجروح شدہ نفسیات اور مادی مفادات کا تصادم کارفرما ہوتا ہے۔ جب ایک فریق کی قیادت دوسرے فریق کی نفسیاتی حساسیتوں اور مفادات کو پامال کرتی ہے، تو ردِ عمل کے طور پر باہمی ضد اور تعصب (prejudice) جنم لیتا ہے، جسے غلطی سے دین دشمنی سمجھ لیا جاتا ہے۔ رسول اللہ صلی اللہ علیہ وسلم نے انصار کو اقتدار اور مادی مناصب کے معاملے میں جس صبر اور یک طرفہ اعراض (unilateral avoidance) کی وصیت فرمائی تھی—کہ میرے بعد پیش آنے والی مادی محرومیوں پر صبر کرنا یہاں تک کہ حوضِ کوثر پر مجھ سے آ ملو—اس کا اصل مقصد یہی تھا کہ باہمی تصادم کے نتیجے میں دعوت کا مشن فتنہ و فساد کی نذر نہ ہو۔ داعیِ حق کے لیے ناگزیر ہے کہ وہ انسانی نفسیات کے اس نازک پہلو کو سمجھے؛ وہ مخاطب کی حیثیت، مال اور اقتدار کے دائرے سے مکمل بے تعلقی اختیار کرے، تا کہ مادی تصادم کی دیواریں منہدم ہوں اور دعوت کا اصل پیغام بغیر کسی فکری و نفسیاتی رکاوٹ کے انسان کے دل تک پہنچ سکے۔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